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bookmarkStart w:colFirst="0" w:colLast="0" w:name="_heading=h.ihv636" w:id="1"/>
            <w:bookmarkEnd w:id="1"/>
            <w:r w:rsidDel="00000000" w:rsidR="00000000" w:rsidRPr="00000000">
              <w:rPr>
                <w:rFonts w:ascii="Arial" w:cs="Arial" w:eastAsia="Arial" w:hAnsi="Arial"/>
                <w:b w:val="1"/>
                <w:sz w:val="24"/>
                <w:szCs w:val="24"/>
                <w:rtl w:val="0"/>
              </w:rPr>
              <w:t xml:space="preserve">"Cabinet Office Markets and Suppliers Team"</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5">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16">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r w:rsidDel="00000000" w:rsidR="00000000" w:rsidRPr="00000000">
              <w:rPr>
                <w:rtl w:val="0"/>
              </w:rPr>
            </w:r>
          </w:p>
          <w:p w:rsidR="00000000" w:rsidDel="00000000" w:rsidP="00000000" w:rsidRDefault="00000000" w:rsidRPr="00000000" w14:paraId="00000017">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r w:rsidDel="00000000" w:rsidR="00000000" w:rsidRPr="00000000">
              <w:rPr>
                <w:rtl w:val="0"/>
              </w:rPr>
            </w:r>
          </w:p>
          <w:p w:rsidR="00000000" w:rsidDel="00000000" w:rsidP="00000000" w:rsidRDefault="00000000" w:rsidRPr="00000000" w14:paraId="00000018">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r w:rsidDel="00000000" w:rsidR="00000000" w:rsidRPr="00000000">
              <w:rPr>
                <w:rtl w:val="0"/>
              </w:rPr>
            </w:r>
          </w:p>
          <w:p w:rsidR="00000000" w:rsidDel="00000000" w:rsidP="00000000" w:rsidRDefault="00000000" w:rsidRPr="00000000" w14:paraId="00000019">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r w:rsidDel="00000000" w:rsidR="00000000" w:rsidRPr="00000000">
              <w:rPr>
                <w:rtl w:val="0"/>
              </w:rPr>
            </w:r>
          </w:p>
          <w:p w:rsidR="00000000" w:rsidDel="00000000" w:rsidP="00000000" w:rsidRDefault="00000000" w:rsidRPr="00000000" w14:paraId="0000001A">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r w:rsidDel="00000000" w:rsidR="00000000" w:rsidRPr="00000000">
              <w:rPr>
                <w:rtl w:val="0"/>
              </w:rPr>
            </w:r>
          </w:p>
          <w:p w:rsidR="00000000" w:rsidDel="00000000" w:rsidP="00000000" w:rsidRDefault="00000000" w:rsidRPr="00000000" w14:paraId="0000001B">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r w:rsidDel="00000000" w:rsidR="00000000" w:rsidRPr="00000000">
              <w:rPr>
                <w:rtl w:val="0"/>
              </w:rPr>
            </w:r>
          </w:p>
          <w:p w:rsidR="00000000" w:rsidDel="00000000" w:rsidP="00000000" w:rsidRDefault="00000000" w:rsidRPr="00000000" w14:paraId="0000001C">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r w:rsidDel="00000000" w:rsidR="00000000" w:rsidRPr="00000000">
              <w:rPr>
                <w:rtl w:val="0"/>
              </w:rPr>
            </w:r>
          </w:p>
          <w:p w:rsidR="00000000" w:rsidDel="00000000" w:rsidP="00000000" w:rsidRDefault="00000000" w:rsidRPr="00000000" w14:paraId="0000001D">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r w:rsidDel="00000000" w:rsidR="00000000" w:rsidRPr="00000000">
              <w:rPr>
                <w:rtl w:val="0"/>
              </w:rPr>
            </w:r>
          </w:p>
          <w:p w:rsidR="00000000" w:rsidDel="00000000" w:rsidP="00000000" w:rsidRDefault="00000000" w:rsidRPr="00000000" w14:paraId="0000001E">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 Grace Period"</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Resolvability Assessment (Structural Review)"</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part of the CRP Information relating to the Supplier Group to be provided by the Supplier in accordance with Paragraph 3 and Annex 2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corporate resolution planning information, together, the:</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“Strategic Supplier”</w:t>
            </w:r>
          </w:p>
        </w:tc>
        <w:tc>
          <w:tcPr/>
          <w:p w:rsidR="00000000" w:rsidDel="00000000" w:rsidP="00000000" w:rsidRDefault="00000000" w:rsidRPr="00000000" w14:paraId="00000031">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32">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https://www.gov.uk/government/publications/strategic-suppliers;</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xcytpi" w:id="2"/>
      <w:bookmarkEnd w:id="2"/>
      <w:r w:rsidDel="00000000" w:rsidR="00000000" w:rsidRPr="00000000">
        <w:rPr>
          <w:rtl w:val="0"/>
        </w:rPr>
      </w:r>
    </w:p>
    <w:p w:rsidR="00000000" w:rsidDel="00000000" w:rsidP="00000000" w:rsidRDefault="00000000" w:rsidRPr="00000000" w14:paraId="00000039">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color w:val="000000"/>
          <w:sz w:val="24"/>
          <w:szCs w:val="24"/>
        </w:rPr>
      </w:pPr>
      <w:r w:rsidDel="00000000" w:rsidR="00000000" w:rsidRPr="00000000">
        <w:rPr>
          <w:rFonts w:ascii="Arial" w:cs="Arial" w:eastAsia="Arial" w:hAnsi="Arial"/>
          <w:b w:val="1"/>
          <w:i w:val="1"/>
          <w:smallCaps w:val="0"/>
          <w:strike w:val="0"/>
          <w:color w:val="000000"/>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notify the Buyer and the Cabinet Office Markets and Suppliers </w:t>
      </w:r>
      <w:r w:rsidDel="00000000" w:rsidR="00000000" w:rsidRPr="00000000">
        <w:rPr>
          <w:sz w:val="24"/>
          <w:szCs w:val="24"/>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The contact email address for the Markets and Suppliers Team is </w:t>
      </w:r>
      <w:hyperlink r:id="rId7">
        <w:r w:rsidDel="00000000" w:rsidR="00000000" w:rsidRPr="00000000">
          <w:rPr>
            <w:color w:val="0000ff"/>
            <w:sz w:val="24"/>
            <w:szCs w:val="24"/>
            <w:u w:val="single"/>
            <w:rtl w:val="0"/>
          </w:rPr>
          <w:t xml:space="preserve">resolution.planning@cabinetoffice.gov.uk</w:t>
        </w:r>
      </w:hyperlink>
      <w:r w:rsidDel="00000000" w:rsidR="00000000" w:rsidRPr="00000000">
        <w:rPr>
          <w:color w:val="000000"/>
          <w:sz w:val="24"/>
          <w:szCs w:val="24"/>
          <w:rtl w:val="0"/>
        </w:rPr>
        <w:t xml:space="preserve">.</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firstLine="0"/>
        <w:jc w:val="left"/>
        <w:rPr>
          <w:color w:val="000000"/>
          <w:sz w:val="24"/>
          <w:szCs w:val="24"/>
        </w:rPr>
      </w:pPr>
      <w:r w:rsidDel="00000000" w:rsidR="00000000" w:rsidRPr="00000000">
        <w:rPr>
          <w:rtl w:val="0"/>
        </w:rPr>
      </w:r>
    </w:p>
    <w:p w:rsidR="00000000" w:rsidDel="00000000" w:rsidP="00000000" w:rsidRDefault="00000000" w:rsidRPr="00000000" w14:paraId="00000040">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43">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 with the CRP Information within 60 days of the Effective Date; and</w:t>
      </w:r>
    </w:p>
    <w:p w:rsidR="00000000" w:rsidDel="00000000" w:rsidP="00000000" w:rsidRDefault="00000000" w:rsidRPr="00000000" w14:paraId="00000044">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46">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7">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4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4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C">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4D">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4E">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sz w:val="24"/>
          <w:szCs w:val="24"/>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51">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2">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5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6">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8">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9">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A">
      <w:pPr>
        <w:keepNext w:val="1"/>
        <w:numPr>
          <w:ilvl w:val="3"/>
          <w:numId w:val="2"/>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sz w:val="24"/>
          <w:szCs w:val="24"/>
          <w:rtl w:val="0"/>
        </w:rPr>
        <w:t xml:space="preserve">the Supplier requests and the Appropriate Authority (acting reasonably) agrees to a </w:t>
      </w:r>
      <w:r w:rsidDel="00000000" w:rsidR="00000000" w:rsidRPr="00000000">
        <w:rPr>
          <w:sz w:val="24"/>
          <w:szCs w:val="24"/>
          <w:highlight w:val="yellow"/>
          <w:rtl w:val="0"/>
        </w:rPr>
        <w:t xml:space="preserve">Corporate Change Event Grace Period</w:t>
      </w:r>
      <w:r w:rsidDel="00000000" w:rsidR="00000000" w:rsidRPr="00000000">
        <w:rPr>
          <w:sz w:val="24"/>
          <w:szCs w:val="24"/>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p>
    <w:p w:rsidR="00000000" w:rsidDel="00000000" w:rsidP="00000000" w:rsidRDefault="00000000" w:rsidRPr="00000000" w14:paraId="0000005B">
      <w:pPr>
        <w:keepNext w:val="1"/>
        <w:numPr>
          <w:ilvl w:val="3"/>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C">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5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5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5F">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64">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6">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6B">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6C">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ind w:left="720" w:hanging="10.999999999999943"/>
        <w:jc w:val="left"/>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6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3ckvvd" w:id="3"/>
      <w:bookmarkEnd w:id="3"/>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7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3">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4">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7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7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7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79">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sz w:val="24"/>
          <w:szCs w:val="24"/>
        </w:rPr>
      </w:pPr>
      <w:r w:rsidDel="00000000" w:rsidR="00000000" w:rsidRPr="00000000">
        <w:rPr>
          <w:b w:val="1"/>
          <w:smallCaps w:val="1"/>
          <w:sz w:val="24"/>
          <w:szCs w:val="24"/>
          <w:rtl w:val="0"/>
        </w:rPr>
        <w:t xml:space="preserve">ANNEX 1</w:t>
      </w:r>
      <w:r w:rsidDel="00000000" w:rsidR="00000000" w:rsidRPr="00000000">
        <w:rPr>
          <w:b w:val="1"/>
          <w:smallCaps w:val="1"/>
          <w:color w:val="000000"/>
          <w:sz w:val="24"/>
          <w:szCs w:val="24"/>
          <w:rtl w:val="0"/>
        </w:rPr>
        <w:t xml:space="preserve">: EXPOSURE: CRITICAL CONTRACTS LIST</w:t>
      </w:r>
    </w:p>
    <w:p w:rsidR="00000000" w:rsidDel="00000000" w:rsidP="00000000" w:rsidRDefault="00000000" w:rsidRPr="00000000" w14:paraId="0000007D">
      <w:pPr>
        <w:numPr>
          <w:ilvl w:val="0"/>
          <w:numId w:val="5"/>
        </w:numPr>
        <w:pBdr>
          <w:top w:space="0" w:sz="0" w:val="nil"/>
          <w:left w:space="0" w:sz="0" w:val="nil"/>
          <w:bottom w:space="0" w:sz="0" w:val="nil"/>
          <w:right w:space="0" w:sz="0" w:val="nil"/>
          <w:between w:space="0" w:sz="0" w:val="nil"/>
        </w:pBdr>
        <w:spacing w:after="200" w:before="100" w:lineRule="auto"/>
        <w:ind w:left="720" w:hanging="72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7E">
      <w:pPr>
        <w:numPr>
          <w:ilvl w:val="1"/>
          <w:numId w:val="5"/>
        </w:numPr>
        <w:pBdr>
          <w:top w:space="0" w:sz="0" w:val="nil"/>
          <w:left w:space="0" w:sz="0" w:val="nil"/>
          <w:bottom w:space="0" w:sz="0" w:val="nil"/>
          <w:right w:space="0" w:sz="0" w:val="nil"/>
          <w:between w:space="0" w:sz="0" w:val="nil"/>
        </w:pBdr>
        <w:spacing w:after="200" w:before="100" w:lineRule="auto"/>
        <w:ind w:left="720" w:hanging="720"/>
        <w:jc w:val="left"/>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7F">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bookmarkStart w:colFirst="0" w:colLast="0" w:name="_heading=h.1baon6m" w:id="4"/>
      <w:bookmarkEnd w:id="4"/>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0">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bookmarkStart w:colFirst="0" w:colLast="0" w:name="_heading=h.3vac5uf" w:id="5"/>
      <w:bookmarkEnd w:id="5"/>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1">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082">
      <w:pPr>
        <w:numPr>
          <w:ilvl w:val="1"/>
          <w:numId w:val="5"/>
        </w:numPr>
        <w:pBdr>
          <w:top w:space="0" w:sz="0" w:val="nil"/>
          <w:left w:space="0" w:sz="0" w:val="nil"/>
          <w:bottom w:space="0" w:sz="0" w:val="nil"/>
          <w:right w:space="0" w:sz="0" w:val="nil"/>
          <w:between w:space="0" w:sz="0" w:val="nil"/>
        </w:pBdr>
        <w:spacing w:after="200" w:before="100" w:lineRule="auto"/>
        <w:ind w:left="720" w:hanging="720"/>
        <w:jc w:val="left"/>
        <w:rPr>
          <w:sz w:val="24"/>
          <w:szCs w:val="24"/>
        </w:rPr>
      </w:pPr>
      <w:r w:rsidDel="00000000" w:rsidR="00000000" w:rsidRPr="00000000">
        <w:rPr>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3">
      <w:pPr>
        <w:ind w:left="0" w:firstLine="0"/>
        <w:jc w:val="left"/>
        <w:rPr/>
      </w:pPr>
      <w:r w:rsidDel="00000000" w:rsidR="00000000" w:rsidRPr="00000000">
        <w:rPr>
          <w:rtl w:val="0"/>
        </w:rPr>
      </w:r>
    </w:p>
    <w:p w:rsidR="00000000" w:rsidDel="00000000" w:rsidP="00000000" w:rsidRDefault="00000000" w:rsidRPr="00000000" w14:paraId="00000084">
      <w:pPr>
        <w:ind w:left="0" w:firstLine="0"/>
        <w:jc w:val="left"/>
        <w:rPr/>
      </w:pPr>
      <w:r w:rsidDel="00000000" w:rsidR="00000000" w:rsidRPr="00000000">
        <w:rPr>
          <w:rtl w:val="0"/>
        </w:rPr>
      </w:r>
    </w:p>
    <w:p w:rsidR="00000000" w:rsidDel="00000000" w:rsidP="00000000" w:rsidRDefault="00000000" w:rsidRPr="00000000" w14:paraId="00000085">
      <w:pPr>
        <w:ind w:left="0" w:firstLine="0"/>
        <w:jc w:val="left"/>
        <w:rPr/>
      </w:pPr>
      <w:r w:rsidDel="00000000" w:rsidR="00000000" w:rsidRPr="00000000">
        <w:rPr>
          <w:rtl w:val="0"/>
        </w:rPr>
      </w:r>
    </w:p>
    <w:p w:rsidR="00000000" w:rsidDel="00000000" w:rsidP="00000000" w:rsidRDefault="00000000" w:rsidRPr="00000000" w14:paraId="00000086">
      <w:pPr>
        <w:ind w:left="0" w:firstLine="0"/>
        <w:jc w:val="left"/>
        <w:rPr/>
      </w:pPr>
      <w:r w:rsidDel="00000000" w:rsidR="00000000" w:rsidRPr="00000000">
        <w:rPr>
          <w:rtl w:val="0"/>
        </w:rPr>
      </w:r>
    </w:p>
    <w:p w:rsidR="00000000" w:rsidDel="00000000" w:rsidP="00000000" w:rsidRDefault="00000000" w:rsidRPr="00000000" w14:paraId="00000087">
      <w:pPr>
        <w:ind w:left="0" w:firstLine="0"/>
        <w:jc w:val="left"/>
        <w:rPr/>
      </w:pPr>
      <w:r w:rsidDel="00000000" w:rsidR="00000000" w:rsidRPr="00000000">
        <w:rPr>
          <w:rtl w:val="0"/>
        </w:rPr>
      </w:r>
    </w:p>
    <w:p w:rsidR="00000000" w:rsidDel="00000000" w:rsidP="00000000" w:rsidRDefault="00000000" w:rsidRPr="00000000" w14:paraId="00000088">
      <w:pPr>
        <w:ind w:left="0" w:firstLine="0"/>
        <w:jc w:val="left"/>
        <w:rPr/>
      </w:pPr>
      <w:r w:rsidDel="00000000" w:rsidR="00000000" w:rsidRPr="00000000">
        <w:rPr>
          <w:rtl w:val="0"/>
        </w:rPr>
      </w:r>
    </w:p>
    <w:p w:rsidR="00000000" w:rsidDel="00000000" w:rsidP="00000000" w:rsidRDefault="00000000" w:rsidRPr="00000000" w14:paraId="00000089">
      <w:pPr>
        <w:ind w:left="0" w:firstLine="0"/>
        <w:jc w:val="left"/>
        <w:rPr/>
      </w:pPr>
      <w:r w:rsidDel="00000000" w:rsidR="00000000" w:rsidRPr="00000000">
        <w:rPr>
          <w:rtl w:val="0"/>
        </w:rPr>
      </w:r>
    </w:p>
    <w:p w:rsidR="00000000" w:rsidDel="00000000" w:rsidP="00000000" w:rsidRDefault="00000000" w:rsidRPr="00000000" w14:paraId="0000008A">
      <w:pPr>
        <w:ind w:left="0" w:firstLine="0"/>
        <w:jc w:val="left"/>
        <w:rPr/>
      </w:pPr>
      <w:r w:rsidDel="00000000" w:rsidR="00000000" w:rsidRPr="00000000">
        <w:rPr>
          <w:rtl w:val="0"/>
        </w:rPr>
      </w:r>
    </w:p>
    <w:p w:rsidR="00000000" w:rsidDel="00000000" w:rsidP="00000000" w:rsidRDefault="00000000" w:rsidRPr="00000000" w14:paraId="0000008B">
      <w:pPr>
        <w:ind w:left="0" w:firstLine="0"/>
        <w:jc w:val="left"/>
        <w:rPr/>
      </w:pPr>
      <w:r w:rsidDel="00000000" w:rsidR="00000000" w:rsidRPr="00000000">
        <w:rPr>
          <w:rtl w:val="0"/>
        </w:rPr>
      </w:r>
    </w:p>
    <w:p w:rsidR="00000000" w:rsidDel="00000000" w:rsidP="00000000" w:rsidRDefault="00000000" w:rsidRPr="00000000" w14:paraId="0000008C">
      <w:pPr>
        <w:ind w:left="0" w:firstLine="0"/>
        <w:jc w:val="left"/>
        <w:rPr/>
      </w:pPr>
      <w:r w:rsidDel="00000000" w:rsidR="00000000" w:rsidRPr="00000000">
        <w:rPr>
          <w:rtl w:val="0"/>
        </w:rPr>
      </w:r>
    </w:p>
    <w:p w:rsidR="00000000" w:rsidDel="00000000" w:rsidP="00000000" w:rsidRDefault="00000000" w:rsidRPr="00000000" w14:paraId="0000008D">
      <w:pPr>
        <w:ind w:left="0" w:firstLine="0"/>
        <w:jc w:val="left"/>
        <w:rPr/>
      </w:pPr>
      <w:r w:rsidDel="00000000" w:rsidR="00000000" w:rsidRPr="00000000">
        <w:rPr>
          <w:rtl w:val="0"/>
        </w:rPr>
      </w:r>
    </w:p>
    <w:p w:rsidR="00000000" w:rsidDel="00000000" w:rsidP="00000000" w:rsidRDefault="00000000" w:rsidRPr="00000000" w14:paraId="0000008E">
      <w:pPr>
        <w:ind w:left="0" w:firstLine="0"/>
        <w:jc w:val="left"/>
        <w:rPr/>
      </w:pPr>
      <w:r w:rsidDel="00000000" w:rsidR="00000000" w:rsidRPr="00000000">
        <w:rPr>
          <w:rtl w:val="0"/>
        </w:rPr>
      </w:r>
    </w:p>
    <w:p w:rsidR="00000000" w:rsidDel="00000000" w:rsidP="00000000" w:rsidRDefault="00000000" w:rsidRPr="00000000" w14:paraId="0000008F">
      <w:pPr>
        <w:ind w:left="0" w:firstLine="0"/>
        <w:jc w:val="left"/>
        <w:rPr/>
      </w:pPr>
      <w:r w:rsidDel="00000000" w:rsidR="00000000" w:rsidRPr="00000000">
        <w:rPr>
          <w:rtl w:val="0"/>
        </w:rPr>
      </w:r>
    </w:p>
    <w:p w:rsidR="00000000" w:rsidDel="00000000" w:rsidP="00000000" w:rsidRDefault="00000000" w:rsidRPr="00000000" w14:paraId="00000090">
      <w:pPr>
        <w:ind w:left="0" w:firstLine="0"/>
        <w:jc w:val="left"/>
        <w:rPr/>
      </w:pPr>
      <w:r w:rsidDel="00000000" w:rsidR="00000000" w:rsidRPr="00000000">
        <w:rPr>
          <w:rtl w:val="0"/>
        </w:rPr>
      </w:r>
    </w:p>
    <w:p w:rsidR="00000000" w:rsidDel="00000000" w:rsidP="00000000" w:rsidRDefault="00000000" w:rsidRPr="00000000" w14:paraId="00000091">
      <w:pPr>
        <w:ind w:left="0" w:firstLine="0"/>
        <w:jc w:val="left"/>
        <w:rPr/>
      </w:pPr>
      <w:r w:rsidDel="00000000" w:rsidR="00000000" w:rsidRPr="00000000">
        <w:rPr>
          <w:rtl w:val="0"/>
        </w:rPr>
      </w:r>
    </w:p>
    <w:p w:rsidR="00000000" w:rsidDel="00000000" w:rsidP="00000000" w:rsidRDefault="00000000" w:rsidRPr="00000000" w14:paraId="00000092">
      <w:pPr>
        <w:ind w:left="0" w:firstLine="0"/>
        <w:jc w:val="center"/>
        <w:rPr>
          <w:b w:val="1"/>
        </w:rPr>
      </w:pPr>
      <w:r w:rsidDel="00000000" w:rsidR="00000000" w:rsidRPr="00000000">
        <w:rPr>
          <w:b w:val="1"/>
          <w:smallCaps w:val="1"/>
          <w:sz w:val="24"/>
          <w:szCs w:val="24"/>
          <w:rtl w:val="0"/>
        </w:rPr>
        <w:t xml:space="preserve">ANNEX 2: CORPORATE RESOLVABILITY ASSESSMENT (STRUCTURAL REVIEW</w:t>
      </w:r>
      <w:r w:rsidDel="00000000" w:rsidR="00000000" w:rsidRPr="00000000">
        <w:rPr>
          <w:b w:val="1"/>
          <w:rtl w:val="0"/>
        </w:rPr>
        <w:t xml:space="preserve">)</w:t>
      </w:r>
    </w:p>
    <w:p w:rsidR="00000000" w:rsidDel="00000000" w:rsidP="00000000" w:rsidRDefault="00000000" w:rsidRPr="00000000" w14:paraId="00000093">
      <w:pPr>
        <w:ind w:firstLine="1418"/>
        <w:rPr/>
      </w:pPr>
      <w:r w:rsidDel="00000000" w:rsidR="00000000" w:rsidRPr="00000000">
        <w:rPr>
          <w:rtl w:val="0"/>
        </w:rPr>
        <w:t xml:space="preserve">     </w:t>
      </w:r>
    </w:p>
    <w:p w:rsidR="00000000" w:rsidDel="00000000" w:rsidP="00000000" w:rsidRDefault="00000000" w:rsidRPr="00000000" w14:paraId="0000009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shd w:fill="auto" w:val="clear"/>
          <w:vertAlign w:val="baseline"/>
        </w:rPr>
      </w:pPr>
      <w:bookmarkStart w:colFirst="0" w:colLast="0" w:name="_heading=h.32hioqz"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so as to provide a simple, effective and easily understood overview of the Supplier Group; and</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99">
      <w:pPr>
        <w:ind w:firstLine="1418"/>
        <w:jc w:val="center"/>
        <w:rPr>
          <w:b w:val="1"/>
          <w:sz w:val="24"/>
          <w:szCs w:val="24"/>
          <w:vertAlign w:val="baseline"/>
        </w:rPr>
      </w:pPr>
      <w:r w:rsidDel="00000000" w:rsidR="00000000" w:rsidRPr="00000000">
        <w:rPr>
          <w:b w:val="1"/>
          <w:sz w:val="24"/>
          <w:szCs w:val="24"/>
          <w:rtl w:val="0"/>
        </w:rPr>
        <w:t xml:space="preserve">ANNEX 3: Financial information AND COMMENTARY</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in a simple, effective and easily understood manner.</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r w:rsidDel="00000000" w:rsidR="00000000" w:rsidRPr="00000000">
        <w:rPr>
          <w:rtl w:val="0"/>
        </w:rPr>
      </w:r>
    </w:p>
    <w:p w:rsidR="00000000" w:rsidDel="00000000" w:rsidP="00000000" w:rsidRDefault="00000000" w:rsidRPr="00000000" w14:paraId="0000009E">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F">
      <w:pPr>
        <w:ind w:left="0" w:firstLine="0"/>
        <w:rPr>
          <w:color w:val="000000"/>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RM6329</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A1">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A2">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A3">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tdBodyText2" w:customStyle="1">
    <w:name w:val="Std Body Text 2"/>
    <w:basedOn w:val="Normal"/>
    <w:rsid w:val="00F71ABD"/>
    <w:pPr>
      <w:overflowPunct w:val="1"/>
      <w:autoSpaceDE w:val="1"/>
      <w:autoSpaceDN w:val="1"/>
      <w:adjustRightInd w:val="1"/>
      <w:spacing w:after="200" w:before="100"/>
      <w:ind w:left="720"/>
      <w:jc w:val="left"/>
      <w:textAlignment w:val="auto"/>
    </w:pPr>
    <w:rPr>
      <w:rFonts w:cs="Times New Roman"/>
      <w:sz w:val="24"/>
      <w:szCs w:val="24"/>
    </w:rPr>
  </w:style>
  <w:style w:type="paragraph" w:styleId="AppendixText6" w:customStyle="1">
    <w:name w:val="Appendix Text 6"/>
    <w:basedOn w:val="AppendixText5"/>
    <w:rsid w:val="00F71ABD"/>
    <w:pPr>
      <w:numPr>
        <w:ilvl w:val="0"/>
        <w:numId w:val="0"/>
      </w:numPr>
      <w:tabs>
        <w:tab w:val="left" w:pos="720"/>
        <w:tab w:val="left" w:pos="2523"/>
        <w:tab w:val="num" w:pos="4320"/>
      </w:tabs>
      <w:overflowPunct w:val="1"/>
      <w:autoSpaceDE w:val="1"/>
      <w:autoSpaceDN w:val="1"/>
      <w:adjustRightInd w:val="1"/>
      <w:spacing w:after="200" w:before="100"/>
      <w:ind w:left="4320" w:hanging="720"/>
      <w:jc w:val="left"/>
      <w:textAlignment w:val="auto"/>
    </w:pPr>
    <w:rPr>
      <w:rFonts w:cs="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yRcZPMuhDDGiuCe1Lq/XfseM8A==">CgMxLjAyCGguZ2pkZ3hzMghoLmlodjYzNjIJaC4yeGN5dHBpMgloLjIzY2t2dmQyCWguMWJhb242bTIJaC4zdmFjNXVmMgloLjMyaGlvcXo4AHIhMVBxTUZIM21yR1BqdkdBX2N2MVVXSWdFeEotalZ4Zjl3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2023-06-22T11:14:00Z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gCurrentVersion">
    <vt:lpwstr>17 November 2017 D1V6</vt:lpwstr>
  </property>
</Properties>
</file>